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Anémia spojená s vyšším rizikom poststop kognitívneho poklesu</w:t>
      </w:r>
    </w:p>
    <w:p>
      <w:r>
        <w:t>Zdroj: Email Newsletter</w:t>
      </w:r>
    </w:p>
    <w:p>
      <w:r>
        <w:t>Publikované: Fri, 27 Mar 2026 12:00:06 +0000 (UTC)</w:t>
      </w:r>
    </w:p>
    <w:p/>
    <w:p>
      <w:pPr>
        <w:pStyle w:val="Heading1"/>
      </w:pPr>
      <w:r>
        <w:t>Súhrn</w:t>
      </w:r>
    </w:p>
    <w:p>
      <w:r>
        <w:t>Podľa článku v Anesthesiology News je anémia spojená so zvýšeným rizikom pooperačného kognitívneho poklesu. Táto informácia pochádza zo štúdií zameraných na kognitívne funkcie po operáciách. Anesthesiology News je mesačník pre anestéziológov v USA. Článok upozorňuje aj na minimálne štandardy anestézie pre pôrod cisárskym rezom. Publikácia je chránená autorským právom spoločnosti McMahon Publishing.</w:t>
      </w:r>
    </w:p>
    <w:p/>
    <w:p>
      <w:pPr>
        <w:jc w:val="center"/>
      </w:pPr>
      <w:r>
        <w:t>Vygenerované: 27.03.2026 14:01:34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