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Systémový nutričný stav a jeho dynamické zmeny ako prediktory odpovede na neoadjuvantnú imunoterapiu pri lokálne pokročilom MSS/pMMR kolorektálnom karcinóme</w:t>
      </w:r>
    </w:p>
    <w:p>
      <w:r>
        <w:t>Zdroj: Frontiers Medicine</w:t>
      </w:r>
    </w:p>
    <w:p>
      <w:r>
        <w:t>Publikované: 2026-03-27T00:00:00Z</w:t>
      </w:r>
    </w:p>
    <w:p/>
    <w:p>
      <w:pPr>
        <w:pStyle w:val="Heading1"/>
      </w:pPr>
      <w:r>
        <w:t>Súhrn</w:t>
      </w:r>
    </w:p>
    <w:p>
      <w:r>
        <w:t>Štúdia skúmala prediktívnu hodnotu nutričného stavu pre odpoveď na neoadjuvantnú imunoterapiu u pacientov s lokálne pokročilým MSS/pMMR kolorektálnym karcinómom. Analyzovali sa dáta 255 pacientov, pričom vek, hladiny CEA po liečbe a zmeny v indexe GNRI boli identifikované ako nezávislé prediktory kompletnej patologickej odpovede (pCR). Mladší vek, nižšie hladiny CEA po liečbe a zvýšenie indexu GNRI počas liečby boli spojené s vyššou pravdepodobnosťou pCR. Na základe týchto premenných bol vytvorený prediktívny model a nomogram s dobrou presnosťou a klinickou užitočnosťou. Tieto nástroje môžu pomôcť pri individualizovanej predikcii odpovede na imunoterapiu. Štúdia naznačuje, že nutričný stav pacienta zohráva dôležitú úlohu pri odpovedi na imunoterapiu. Výsledky poskytujú podklady pre budúce štúdie zamerané na kombináciu nutričných intervencií s imunoterapiou.</w:t>
      </w:r>
    </w:p>
    <w:p/>
    <w:p>
      <w:pPr>
        <w:jc w:val="center"/>
      </w:pPr>
      <w:r>
        <w:t>Vygenerované: 27.03.2026 07:01:11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