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Prísnosť politiky počas pandémie COVID-19 a využívanie zdravotníckych služieb v Číne: prerušená analýza časových radov</w:t>
      </w:r>
    </w:p>
    <w:p>
      <w:r>
        <w:t>Zdroj: PLOS Medicine</w:t>
      </w:r>
    </w:p>
    <w:p>
      <w:r>
        <w:t>Publikované: 2026-03-26T14:00:00Z</w:t>
      </w:r>
    </w:p>
    <w:p/>
    <w:p>
      <w:pPr>
        <w:pStyle w:val="Heading1"/>
      </w:pPr>
      <w:r>
        <w:t>Súhrn</w:t>
      </w:r>
    </w:p>
    <w:p>
      <w:r>
        <w:t>Štúdia analyzovala trendy využívania zdravotnej starostlivosti v Číne od januára 2015 do apríla 2024 pomocou prerušenej analýzy časových radov na údajoch o ambulantných návštevách a hospitalizáciách. Pandémia COVID-19 a politika nulového COVID spôsobili pokles o 1,21 miliardy (7 %) ambulantných návštev a 140,9 milióna (13 %) hospitalizácií oproti očakávaným úrovniam od januára 2020 do apríla 2024. Najväčšie poklesy nastali počas počiatočných vĺn pandémie a prísnych opatrení nulového COVID. Desaťbodový nárast Indexu prísnosti politík pred zrušením politiky nulového COVID viedol k poklesu ambulantných návštev o 7,2 percentuálneho bodu a hospitalizácií o 6,2 percentuálneho bodu. Po ukončení politiky sa využívanie postupne obnovilo, no k aprílu 2024 zostalo pod očakávanými úrovňami v 20 (65 %) regiónoch pre ambulantné návštevy a v 23 (74 %) pre hospitalizácie. Regionálne rozdiely ukázali najväčšie absolútne zníženia v rozvinutých oblastiach ako Šanghaj (4 997 ambulantných návštev a 241 hospitalizácií na 1 000 ľudí menej) a najväčšie relatívne poklesy v menej rozvinutých regiónoch ako Guizhou (16 % ambulantných návštev) a Shanxi (27 % hospitalizácií).</w:t>
      </w:r>
    </w:p>
    <w:p/>
    <w:p>
      <w:pPr>
        <w:jc w:val="center"/>
      </w:pPr>
      <w:r>
        <w:t>Vygenerované: 26.03.2026 19:01:34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