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Daiichi Sankyo a Tempus AI spolupracujú na klinickom vývoji ADC</w:t>
      </w:r>
    </w:p>
    <w:p>
      <w:r>
        <w:t>Zdroj: Pharmaceutical Technology</w:t>
      </w:r>
    </w:p>
    <w:p>
      <w:r>
        <w:t>Publikované: Thu, 26 Mar 2026 09:37:35 +0000</w:t>
      </w:r>
    </w:p>
    <w:p/>
    <w:p>
      <w:pPr>
        <w:pStyle w:val="Heading1"/>
      </w:pPr>
      <w:r>
        <w:t>Súhrn</w:t>
      </w:r>
    </w:p>
    <w:p>
      <w:r>
        <w:t>Farmaceutická spoločnosť Daiichi Sankyo (japonský koncern s trhovou kapitalizáciou 34,6 miliardy dolárov) sa spojila s technologickou spoločnosťou Tempus AI na urýchlenie klinického vývoja programu ADC (antibody drug conjugate) v onkológii.[1][2] ADC je liečebný prístup, ktorý dodáva lieky priamo do nádorových buniek a cieli na špecifické antigény na povrchu rakoviny, čím minimalizuje poškodenie zdravých tkanív.[3] V rámci spolupráce bude Daiichi Sankyo využívať proprietary modely a AI nástroje Tempus, vrátane PRISM2 – pokročilého multimodálneho modelu, ktorý kombinuje patologické snímky a klinické údaje na generovanie diagnostických a prediktívnych poznatkov.[1][2] Obe spoločnosti budú spájať klinické a predklinické výskumné údaje od Daiichi Sankyo s rozsiahlymi údajmi zo skutočného sveta od Tempus na objavenie nových biomarkerov a stratifikáciu pacientov.[1][2] Cieľom je vyvinúť AI modely na optimalizáciu výberu pacientov a zvýšenie pravdepodobnosti úspechu nového ADC, pričom tieto modely budú nasadené v onkologickej databáze Tempus na vytvorenie detailných máp odozvy a benchmarkingu kontrolných skupín pre budúce klinické skúšky.[1][2] Daiichi Sankyo v posledných dvanástich mesiacoch dosiahla 14-percentný rast príjmov.[2] Finančné podmienky spolupráce a konkrétne časové plány vývoja programu neboli zverejnené.[2]</w:t>
      </w:r>
    </w:p>
    <w:p/>
    <w:p>
      <w:pPr>
        <w:jc w:val="center"/>
      </w:pPr>
      <w:r>
        <w:t>Vygenerované: 26.03.2026 12:01:19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