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Aplikácia MRI modelu založeného na biotope nádorového mikroprostredia a peritumorálnych znakoch pri predoperačnej diferenciácii rakoviny konečníka T1-2/T3: multicentrická štúdia</w:t>
      </w:r>
    </w:p>
    <w:p>
      <w:r>
        <w:t>Zdroj: Frontiers Medicine</w:t>
      </w:r>
    </w:p>
    <w:p>
      <w:r>
        <w:t>Publikované: 2026-03-26T00:00:00Z</w:t>
      </w:r>
    </w:p>
    <w:p/>
    <w:p>
      <w:pPr>
        <w:pStyle w:val="Heading1"/>
      </w:pPr>
      <w:r>
        <w:t>Súhrn</w:t>
      </w:r>
    </w:p>
    <w:p>
      <w:r>
        <w:t>Retrospektívna multicentrická štúdia s 313 pacientmi (tréningová kohorta 183, testovacia 130) vytvorila MRI model na predoperačné odlíšenie štádií T1-2 od T3 pri rakovine konečníka. Model zoskupil vnútornádorové rádiomické znaky do troch biotopov nádorového mikroprostredia pomocou K-priemerov a extrahoval peritumorálne znaky v rozsahu 1–3 mm. Použili sa modely peritumorálny (PERI2mm), biotopový, klinický a nomogram kombinujúci rádiomiku s klinickými faktormi ako vek, CEA, dĺžka nádoru, obvodový rast a mrT štádium. Nomogram dosiahol najvyššiu AUC 0,907 v tréningovej a 0,881 v testovacej kohorte, lepšiu ako PERI2mm (AUC 0,817) či klinický model (AUC 0,723). V testovacej kohorte vykázal presnosť 0,827, PR-AUC 0,948 a F1 skóre 0,851. Kalibračná analýza potvrdila zhodu s patologickým stagingom (Brierovo skóre 0,1253 v teste) a DCA ukázala klinický prínos. Nomogram zlepšuje presnosť diferenciácie T1-2/T3 využitím biotopu, peritumorálnej rádiomiky a klinických biomarkerov.</w:t>
      </w:r>
    </w:p>
    <w:p/>
    <w:p>
      <w:pPr>
        <w:jc w:val="center"/>
      </w:pPr>
      <w:r>
        <w:t>Vygenerované: 26.03.2026 07:01:11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