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Model hlbokého učenia založený na transformátore na predpovedanie intraoperačnej hypotenzie v reálnom čase pomocou dynamických životných funkcií v časových sériách: retrospektívna štúdia</w:t>
      </w:r>
    </w:p>
    <w:p>
      <w:r>
        <w:t>Zdroj: PLOS Medicine</w:t>
      </w:r>
    </w:p>
    <w:p>
      <w:r>
        <w:t>Publikované: 2026-03-25T14:00:00Z</w:t>
      </w:r>
    </w:p>
    <w:p/>
    <w:p>
      <w:pPr>
        <w:pStyle w:val="Heading1"/>
      </w:pPr>
      <w:r>
        <w:t>Súhrn</w:t>
      </w:r>
    </w:p>
    <w:p>
      <w:r>
        <w:t>Vyvinuli model hlbokého učenia založený na transformátore na predpovedanie intraoperačnej hypotenzie (IOH) v reálnom čase z dynamických časových sérií vitálnych funkcií. Model trénovali na 319 699 chirurgických prípadoch z čínskej nemocnice (2013–2023) a externe validovali údajmi z Južnej Kórey. Dosiahol vysoký výkon v 5-, 10- a 15-minútových predikciách s AUC 0,904, 0,892 a 0,882 pri vyvolaní ≥88,3 %. V porovnaní s XGBoost mal lepšiu spätnú odozvu (5-minútové vyvolanie 0,891 vs. 0,737) a kalibráciu (očakávaná chyba 0,0083 vs. 0,0373), hoci XGBoost mal vyššiu špecifickosť (0,913 vs. 0,723). Záťaž IOH (kumulatívny MAP ≤65 mmHg) významne súvisí s pooperačným akútnym poškodením obličiek (AKI) a akútnym ochorením obličiek (AKD), napr. OR 1,10 pre AKI pri 60 mmHg·min (95 % CI [1,02, 1,19]; p=0,012). Predpovedané riziko IOH v simuláciách úzko kopírovalo kolísanie MAP. Štúdia je retrospektívna, vyžaduje prospektívnu multicentrickú validáciu.</w:t>
      </w:r>
    </w:p>
    <w:p/>
    <w:p>
      <w:pPr>
        <w:jc w:val="center"/>
      </w:pPr>
      <w:r>
        <w:t>Vygenerované: 25.03.2026 20:00:46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