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MSD a Quotient spolupracujú na cieľoch IBD liekov</w:t>
      </w:r>
    </w:p>
    <w:p>
      <w:r>
        <w:t>Zdroj: Pharmaceutical Technology</w:t>
      </w:r>
    </w:p>
    <w:p>
      <w:r>
        <w:t>Publikované: Wed, 25 Mar 2026 09:54:54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"MSD and Quotient collaborate on IBD drug targets" ani jeho obsah. Výsledky vyhľadávania obsahujú informácie o IBD (idiopatických zápaľoch čriev) v českom a slovenskom kontexte, vrátane informácií o liečbe, pacientskych organizáciách a konferenciách, ale nie o konkrétnej spolupráci medzi MSD a Quotient Therapeutics na objavovaní nových cieľov IBD liekov. Aby som mohol vytvoriť presný a faktický súhrn podľa vašich požiadaviek, potrebujem prístup k samotnému článku.</w:t>
      </w:r>
    </w:p>
    <w:p/>
    <w:p>
      <w:pPr>
        <w:jc w:val="center"/>
      </w:pPr>
      <w:r>
        <w:t>Vygenerované: 25.03.2026 13:01:33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