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Firemné vektory chronických chorôb – používanie interných priemyselných dokumentov na vytvorenie protistratégií</w:t>
      </w:r>
    </w:p>
    <w:p>
      <w:r>
        <w:t>Zdroj: NEJM</w:t>
      </w:r>
    </w:p>
    <w:p>
      <w:r>
        <w:t>Publikované: 2026-03-25T09:00:02Z</w:t>
      </w:r>
    </w:p>
    <w:p/>
    <w:p>
      <w:pPr>
        <w:pStyle w:val="Heading1"/>
      </w:pPr>
      <w:r>
        <w:t>Súhrn</w:t>
      </w:r>
    </w:p>
    <w:p>
      <w:r>
        <w:t>Článok analyzuje firemné vektory chronických chorôb prostredníctvom interných priemyselných dokumentov na vytvorenie protistratégií. Publikovaný je v New England Journal of Medicine, zväzok 394, číslo 12, strany 1231-1237, dňa 26. marca 2026. Korporácie pôsobia ako vektory chorôb tým, že uprednostňujú zisky pred zdravím prostredníctvom environmentálneho znečistenia. Od publikácie knihy Rachel Carsonovej Silent Spring v roku 1962 vlády zavádzajú regulácie na ochranu pred škodlivými chemikáliami v potravinách, vzduchu a vode. Tieto regulácie čelia odporu veľkých korporácií, ktoré z nich profitujú. Administratíva Trumpa zrušila zistenie EPA z roku 2009 o nebezpečenstve skleníkových plynov, uvoľnila normy emisií vozidiel a oslabila kontroly znečistenia elektrární a ropných operácií. Zvýšená expozícia dnes vedie k vyšším mieram rakoviny, respiračných ochorení, kardiovaskulárnych chorôb a vývojových porúch v budúcnosti. Uvoľnenie regulácií umožňuje korporáciám šíriť choroby prostredníctvom environmentálnej expozície, čo negatívne ovplyvní zdravie súčasných aj budúcich generácií.[1]</w:t>
      </w:r>
    </w:p>
    <w:p/>
    <w:p>
      <w:pPr>
        <w:jc w:val="center"/>
      </w:pPr>
      <w:r>
        <w:t>Vygenerované: 26.03.2026 10:02:30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