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Akútne gastrointestinálne poškodenie u detí na ECMO: analýza rizikových faktorov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Retrospektívna štúdia skúmala rizikové faktory akútneho gastrointestinálneho poškodenia (AGI) u 62 detských pacientov liečených ECMO v nemocniciach v Gansu a Shaanxi od januára 2019. Pacienti boli rozdelení na skupinu významného AGI (stupeň II alebo vyšší, 28 pacientov, 45,16 %) a nesignifikantného AGI (bez AGI alebo stupeň I, 34 pacientov, 54,84 %). Univariačná analýza ukázala významné rozdiely medzi skupinami v trvaní ECMO, hladinách laktátu v krvi pred ECMO, vazopresorovo-inotropnom skóre (VIS), čase začatia enterálnej výživy a užívaní inhibítora protónovej pumpy (PPI) pred ECMO (P &lt; 0,05). Binárna logistická regresia identifikovala ako nezávislé rizikové faktory predĺžené trvanie ECMO, zvýšené hladiny laktátu pred ECMO a užívanie PPI pred ECMO. Skoré začatie enterálnej výživy do 48 hodín bolo ochranným faktorom. Incidencia významného AGI u detí na ECMO je vysoká.</w:t>
      </w:r>
    </w:p>
    <w:p/>
    <w:p>
      <w:pPr>
        <w:jc w:val="center"/>
      </w:pPr>
      <w:r>
        <w:t>Vygenerované: 24.03.2026 18:01:09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