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Pulzná synchrónna regulácia vnútroočného a cerebrospinálneho tlaku: nová paradigma pre patogenézu a liečbu glaukómu</w:t>
      </w:r>
    </w:p>
    <w:p>
      <w:r>
        <w:t>Zdroj: Frontiers Medicine</w:t>
      </w:r>
    </w:p>
    <w:p>
      <w:r>
        <w:t>Publikované: 2026-03-24T00:00:00Z</w:t>
      </w:r>
    </w:p>
    <w:p/>
    <w:p>
      <w:pPr>
        <w:pStyle w:val="Heading1"/>
      </w:pPr>
      <w:r>
        <w:t>Súhrn</w:t>
      </w:r>
    </w:p>
    <w:p>
      <w:r>
        <w:t>Glaukóm je hlavnou príčinou ireverzibilnej slepoty na svete a charakterizuje sa progresívnou stratou gangliových buniek sietnice a ich axónov. Zvýšený vnútroočný tlak (IOP) je hlavným rizikovým faktorom, no pri glaukóme s normálnym tlakom (NTG) je statický IOP v norme. Článok navrhuje hypotézu dynamickej nerovnováhy trans-lamina cribrosa tlakového rozdielu (TLCPD) na základe cirkadiánnych fluktuácií IOP a tlaku cerebrospinálnej tekutiny (CSFP). Táto nerovnováha vzniká abnormálnou synchronizáciou pulzov medzi IOP a CSFP, ako je fázový nesúlad, nesúlad amplitúd alebo abnormálna frekvencia. Poškodenie gangliových buniek nastáva mechanickým namáhaním lamina cribrosa a metabolickou dysfunkciou, vrátane poruchy očného glymfatického systému, čo vedie k aktivácii dráhy programovanej axonálnej degenerácie. Pri NTG dominuje fázový nesúlad, zatiaľ čo pri primárnom glaukóme s otvoreným uhlom (POAG) nesúlad amplitúd a frekvencie. Hypotéza navrhuje 24-hodinové monitorovanie IOP a CSFP, experimenty na zvieratách, nové markery ako prechodný vrchol TLCPD a terapie ako regulácia CSFP či modulácia dráhy degenerácie.</w:t>
      </w:r>
    </w:p>
    <w:p/>
    <w:p>
      <w:pPr>
        <w:jc w:val="center"/>
      </w:pPr>
      <w:r>
        <w:t>Vygenerované: 24.03.2026 07:01:13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