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Oprava: Ako môžu krajiny so strednými príjmami úspešne prejsť od medzinárodnej zdravotnej pomoci?</w:t>
      </w:r>
    </w:p>
    <w:p>
      <w:r>
        <w:t>Zdroj: PLOS Medicine</w:t>
      </w:r>
    </w:p>
    <w:p>
      <w:r>
        <w:t>Publikované: 2026-03-23T14:00:00Z</w:t>
      </w:r>
    </w:p>
    <w:p/>
    <w:p>
      <w:pPr>
        <w:pStyle w:val="Heading1"/>
      </w:pPr>
      <w:r>
        <w:t>Súhrn</w:t>
      </w:r>
    </w:p>
    <w:p>
      <w:r>
        <w:t>Tento článok je opravou pôvodného textu s názvom „Ako môžu krajiny so strednými príjmami úspešne prejsť od medzinárodnej zdravotnej pomoci?“.[1][2] Nedávny výskum skúma faktory prispievajúce k úspešnému prechodu krajín so strednými príjmami od medzinárodnej zdravotnej pomoci.[1][2][3] Tri kľúčové faktory sú efektívne vedenie, využitie domácich zdrojov na uzavretie finančnej medzery vzniknutej stratou pomoci a preorientovanie krajinských systémov na nové domáce zdroje financovania.[1][2][3] Efektívne vedenie musí byť spoločné zo strany príjemcu a darcu, transparentné s dohodnutými míľnikmi a jasnou komunikáciou o pokroku.[2] Zahŕňa politickú podporu, legislatívu a domáce vlastníctvo zdravotných programov.[2] Preorientovanie systémov zahŕňa integráciu darcovských programov do národných systémov zdravotného financovania a poskytovania služieb, aby sa predišlo prerušeniam.[2][3] Príklady zahŕňajú posilnenie kapacity inštitúcií v El Salvadore a Bangladéši na manažment fondov a dodávateľských reťazcov.[3]</w:t>
      </w:r>
    </w:p>
    <w:p/>
    <w:p>
      <w:pPr>
        <w:jc w:val="center"/>
      </w:pPr>
      <w:r>
        <w:t>Vygenerované: 23.03.2026 20:00:34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