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liekov v Číne prekvitá. Mali by to USA považovať za hrozbu alebo príležitosť?</w:t>
      </w:r>
    </w:p>
    <w:p>
      <w:r>
        <w:t>Zdroj: STAT News</w:t>
      </w:r>
    </w:p>
    <w:p>
      <w:r>
        <w:t>Publikované: Thu, 19 Mar 2026 23:19:25 +0000</w:t>
      </w:r>
    </w:p>
    <w:p/>
    <w:p>
      <w:pPr>
        <w:pStyle w:val="Heading1"/>
      </w:pPr>
      <w:r>
        <w:t>Súhrn</w:t>
      </w:r>
    </w:p>
    <w:p>
      <w:r>
        <w:t>Čínskych farmaceutických spoločností sa darí v oblasti vývoja nových liekov, pričom približne 40 % liekov licencovaných farmaceutickými spoločnosťami v roku 2026 bolo objavených v Číne[5]. Čínske biotechnologické firmy sú najmä dominantné v oblasti onkológie – sú zodpovedné za približne 70 % globálneho vývoja protilátok konjugovaných s liekmi (ADC) používaných v cielených terapiách rakoviny a asi 60 % bispecifických protilátok[3]. V roku 2025 dosiahli čínskí výrobcovia liekov rekordných 135,7 miliardy dolárov prostredníctvom 157 medzinárodných licenčných dohôd, čo predstavuje výrazný nárast z 51,9 miliardy dolárov v roku 2024[6]. Čínsky farmaceutický trh sa očakáva, že bude rásť ročnou sadzbou 7,8 % v období 2026 až 2033[1]. Viac klinických skúšok bolo spustených v Číne ako v ktorejkoľvek inej krajine, čím prvýkrát prekonala Spojené štáty[5]. Globálne farmaceutické spoločnosti, vrátane Pfizeru a AstraZenecy, robia významné investície v Číne, aby získali prístup k nákladovo efektívnym klinickým skúšačným potrubiám a inovačným kapacitám[1][4].</w:t>
      </w:r>
    </w:p>
    <w:p/>
    <w:p>
      <w:pPr>
        <w:jc w:val="center"/>
      </w:pPr>
      <w:r>
        <w:t>Vygenerované: 20.03.2026 01:04:58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