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Navigácia v údolí smrti: návod z pohľadu investora</w:t>
      </w:r>
    </w:p>
    <w:p>
      <w:r>
        <w:t>Zdroj: Pharmaceutical Technology</w:t>
      </w:r>
    </w:p>
    <w:p>
      <w:r>
        <w:t>Publikované: Wed, 18 Mar 2026 11:24:35 +0000</w:t>
      </w:r>
    </w:p>
    <w:p/>
    <w:p>
      <w:pPr>
        <w:pStyle w:val="Heading1"/>
      </w:pPr>
      <w:r>
        <w:t>Súhrn</w:t>
      </w:r>
    </w:p>
    <w:p>
      <w:r>
        <w:t>Investori v oblasti pokročilých terapií zdôrazňujú, že biotechnologické startupy musia preukázať jasnú cestu k klinickému úspechu, najmä v oblastiach ako onkológia, neurológia a obezita.[1] Nedávne trhové podmienky sťažili financovanie, pričom tradiční venture kapitalisti uprednostňujú neskoré štádiá s preukázanými klinickými aktívami a potenciálom predaja 1 miliardy dolárov v prvom roku.[1] Napriek tomu firmy ako Mirador Therapeutics a BioAge Labs získali v marci tento rok 400 miliónov a 170 miliónov dolárov.[1] Úspešné prekonanie „údolia smrti“ vyžaduje včasné plánovanie, adaptabilitu a budovanie dôvery s investormi.[1] Startupy by mali využívať netradičné zdroje financovania, strategické partnerstvá a inovatívne modely kompenzácie.[1][2] Non-dilutívne financovanie, ako granty, umožňuje zachovať kontrolu nad spoločnosťou bez zrieďovania vlastníckych podielov.[2] Investori vidia v súčasnom spomalení príležitosť na investovanie do podhodnotených aktív s vysokým potenciálom.[1]</w:t>
      </w:r>
    </w:p>
    <w:p/>
    <w:p>
      <w:pPr>
        <w:jc w:val="center"/>
      </w:pPr>
      <w:r>
        <w:t>Vygenerované: 18.03.2026 13:00:49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