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Neštandardné generické lieky – ohrozenie bezpečnosti pacientov a národnej bezpečnosti</w:t>
      </w:r>
    </w:p>
    <w:p>
      <w:r>
        <w:t>Zdroj: NEJM</w:t>
      </w:r>
    </w:p>
    <w:p>
      <w:r>
        <w:t>Publikované: 2026-03-18T09:00:00Z</w:t>
      </w:r>
    </w:p>
    <w:p/>
    <w:p>
      <w:pPr>
        <w:pStyle w:val="Heading1"/>
      </w:pPr>
      <w:r>
        <w:t>Súhrn</w:t>
      </w:r>
    </w:p>
    <w:p>
      <w:r>
        <w:t>Neštandardné generické lieky predstavujú hrozbu pre bezpečnosť pacientov a národnú bezpečnosť, pretože nespĺňajú stanovené kvalitatívne špecifikácie.[1] Podľa definície WHO z roku 2009 ide o skutočné lieky od autorizovaných výrobcov, ktoré však nedosahujú národné štandardy kvality.[1] Príklady zahŕňajú streptokinázu, kde 13 z 16 produktov malo len 20,8–86,6 % deklarovanej aktivity, a karvedilol, kde 48,6 % (n=35) generických vzoriek z 19 krajín nespĺňalo špecifikácie obsahu (95–105 %).[1] Tieto lieky môžu viesť k zlyhaniu liečby, ako je zvýšená rezistencia na antibiotiká alebo neúspešná odpoveď na antimalariká s nižším obsahom účinnej látky.[1][2] V Grécku sa vyskytli pooperačné infekcie po použití generického cefuroximu s nedostatočnou formuláciou.[1] Substandardné antimikrobiálne lieky, najmä antibiotiká a antimalariká (36 % hlásených prípadov), ohrozujú verejné zdravie v endemických oblastiach.[2] Problém sa vyskytuje v dodávateľských reťazcoch s obmedzenou kontrolou dobrých výrobných a distribučných postupov.[2]</w:t>
      </w:r>
    </w:p>
    <w:p/>
    <w:p>
      <w:pPr>
        <w:jc w:val="center"/>
      </w:pPr>
      <w:r>
        <w:t>Vygenerované: 19.03.2026 10:00:54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