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Zlepšenie perinatálnej starostlivosti o pozostalých v zariadeniach s najvyššou úmrtnosťou</w:t>
      </w:r>
    </w:p>
    <w:p>
      <w:r>
        <w:t>Zdroj: BMJ</w:t>
      </w:r>
    </w:p>
    <w:p>
      <w:r>
        <w:t>Publikované: 2026-03-17T03:31:15-07:00</w:t>
      </w:r>
    </w:p>
    <w:p/>
    <w:p>
      <w:pPr>
        <w:pStyle w:val="Heading1"/>
      </w:pPr>
      <w:r>
        <w:t>Súhrn</w:t>
      </w:r>
    </w:p>
    <w:p>
      <w:r>
        <w:t>Každých osem sekúnd sa na svete narodí mŕtve dieťa alebo zomrie novorodenec, pričom ročne sa celosvetovo uvádza 1,9 milióna mŕtvo narodených detí a 2,5 milióna úmrtí novorodencov[1]. Približne 98 % týchto úmrtí sa vyskytuje v krajinách s nízkym a stredným príjmom, pričom subsaharská Afrika a južná Ázia predstavujú 75 % celosvetového počtu[1]. Smrť dieťaťa predstavuje jedinečne traumatizujúcu skúsenosť, ktorá často nie je spoločensky uznávaná ako ekvivalent iných úmrtí[1]. Rodičia a rodiny prežívajú dlhotrvajúci smútok sprevádzaný stigmou a izolációu, pričom približne 4,2 milióna žien žije s depresiou v dôsledku perinatálnej straty[1]. Úctivá a súcitná postnatálna podpora je po smrti dieťaťa nevyhnutná, pretože dôkazy ukazujú, že ženy dostávajúce včasnú a vysokokvalitnú intervenciu majú lepšie výsledky[1]. Článok zdôrazňuje potrebu zlepšenia perinatálnej starostlivosti o pozostalých, najmä v zariadeniach s najvyššou úmrtnosťou.</w:t>
      </w:r>
    </w:p>
    <w:p/>
    <w:p>
      <w:pPr>
        <w:jc w:val="center"/>
      </w:pPr>
      <w:r>
        <w:t>Vygenerované: 17.03.2026 13:01:53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