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Programovateľná úprava genómu v ľudských bunkách pomocou mostíkových rekombináz riadených RNA</w:t>
      </w:r>
    </w:p>
    <w:p>
      <w:r>
        <w:t>Zdroj: Science Magazine</w:t>
      </w:r>
    </w:p>
    <w:p>
      <w:r>
        <w:t>Publikované: 2026-03-12T07:00:00Z</w:t>
      </w:r>
    </w:p>
    <w:p/>
    <w:p>
      <w:pPr>
        <w:pStyle w:val="Heading1"/>
      </w:pPr>
      <w:r>
        <w:t>Súhrn</w:t>
      </w:r>
    </w:p>
    <w:p>
      <w:r>
        <w:t>Výskum predstavuje programovateľnú úpravu genómu v ľudských bunkách pomocou mostíkových rekombináz riadených RNA, konkrétne rekombinázy ISCro4 pochádzajúcej z Citrobacter rodentium.[1][2][3] Tieto rekombinázy z rodiny IS110 katalyzujú špecifickú rekombináciu medzi cieľovou a donorovou DNA prostredníctvom bipartitnej RNA (bridge RNA), ktorá obsahuje cieľovú väzobnú slučku (TBL) a donorovú väzobnú slučku (DBL).[1][2][3] ISCro4 vykazuje vysokú aktivitu v ľudských bunkách pri dodaní cez plazmidy alebo výlučne RNA.[1][2][3] Umožňuje programovateľné vyrezávanie a inverziu viackilobázových sekvencií, ako aj vloženie donorovej DNA do genomu s účinnosťou presahujúcou 6 %.[1][2][3] Štúdia poskytuje štrukturálne poznatky o vylepšenej aktivite ISCro4 a hodnotí jej špecificitu a off-target aktivitu.[1][2][3] Systém umožňuje manipuláciu veľkých genomových regiónov až do milióna bázových párov, vrátane mazania genových klastrów alebo inverzie regulačných sekvencií.[4] Dosiahli sa až 20 % účinnosť vloženia a špecificita až 82 % po optimalizácii bridge RNA a mutačnej analýze.[5] Výsledky tvoria základ pre vývoj bridge rekombináz ako nástrojov pre pokročilé editačné metódy.[1][2][3]</w:t>
      </w:r>
    </w:p>
    <w:p/>
    <w:p>
      <w:pPr>
        <w:jc w:val="center"/>
      </w:pPr>
      <w:r>
        <w:t>Vygenerované: 12.03.2026 20:02:49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