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Skóre interakcie zápal-nádorová záťaž stratifikuje prežitie po chemoembolizácii guľôčok uvoľňujúcich irinotekan pre kolorektálne pečeňové metastázy</w:t>
      </w:r>
    </w:p>
    <w:p>
      <w:r>
        <w:t>Zdroj: Frontiers Medicine</w:t>
      </w:r>
    </w:p>
    <w:p>
      <w:r>
        <w:t>Publikované: 2026-03-12T00:00:00Z</w:t>
      </w:r>
    </w:p>
    <w:p/>
    <w:p>
      <w:pPr>
        <w:pStyle w:val="Heading1"/>
      </w:pPr>
      <w:r>
        <w:t>Súhrn</w:t>
      </w:r>
    </w:p>
    <w:p>
      <w:r>
        <w:t>Retrospektívna štúdia v jednom centre analyzovala 207 pacientov s kolorektálnymi pečeňovými metastázami liečených transarteriálnou chemoembolizáciou guľôčkami uvoľňujúcimi irinotekan, ktorí neboli vhodní na resekciu alebo abláciu. Skóre interakcie zápal-nádorová záťaž (CT-IBS) kombinuje dynamickú zápalovú zmenu meranú rozdielom pomeru C-reaktívneho proteínu k albumínu (ΔCAR) medzi východiskovým a skorým hodnotením po liečbe s počtom metastáz (&lt; 5 vs. ≥ 5). Včasná rádiologická odpoveď (úplná alebo čiastočná) sa pozorovala u 75,7 % pacientov. Vyšší ΔCAR a väčší počet pečeňových metastáz boli nezávisle spojené s horším celkovým prežitím. CT-IBS rozdelilo pacientov do troch prognostických skupín s mediánovým celkovým prežitím 27,3, 17,8 a 8,6 mesiaca (p &lt; 0,001; plocha pod krivkou 0,703). Skóre tak stratifikuje prežitie bez progresie a celkové prežitie po tomto postupe.</w:t>
      </w:r>
    </w:p>
    <w:p/>
    <w:p>
      <w:pPr>
        <w:jc w:val="center"/>
      </w:pPr>
      <w:r>
        <w:t>Vygenerované: 12.03.2026 07:46:56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