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Individuálny prognostický nomogram integrujúci klinické a patologické znaky u pediatrickej IgA vaskulitídy nefritídy</w:t>
      </w:r>
    </w:p>
    <w:p>
      <w:r>
        <w:t>Zdroj: Frontiers Medicine</w:t>
      </w:r>
    </w:p>
    <w:p>
      <w:r>
        <w:t>Publikované: 2026-03-12T00:00:00Z</w:t>
      </w:r>
    </w:p>
    <w:p/>
    <w:p>
      <w:pPr>
        <w:pStyle w:val="Heading1"/>
      </w:pPr>
      <w:r>
        <w:t>Súhrn</w:t>
      </w:r>
    </w:p>
    <w:p>
      <w:r>
        <w:t>Vedci vyvinuli a overili individuálny prognostický nomogram na odhad rizika poklesu funkcie obličiek u detí s IgA vaskulitídou nefritídou (IgAVN). Štúdia zahŕňala 603 detí s biopsiou potvrdenou IgAVN a sledovaním najmenej 12 mesiacov, pričom kohorta bola rozdelená na tréningovú (80 %) a validačnú (20 %) sadu. Primárnym ukazovateľom bol pokles eGFR pod 90 ml/min/1,73 m² alebo ≥30 % oproti východiskovej hodnote po 12 mesiacoch. Počas mediánu sledovania 48,7 mesiacov (IQR 28,5–73,3) dosiahlo tento bod 68 detí (11,3 %). Model identifikoval päť prediktorov: mužské pohlavie (HR=2,12), obličkové IgA depozitum 3+ (HR=2,66), ISKDC stupeň IV–VI (HR=4,63), Oxford T1/2 lézie (HR=4,72) a východiskový sérový kreatinín. Nomogram vykázal dobrú diskrimináciu (C-index=0,796; AUC 60 mesiacov=0,859; 84 mesiacov=0,850), kalibráciu a klinický prínos. Kaplan-Meierova analýza potvrdila vyššie riziko u skupiny s vysokým rizikom (log-rank p&lt;0,001). Nástroj umožňuje personalizované rozhodnutia krátko po biopsii.</w:t>
      </w:r>
    </w:p>
    <w:p/>
    <w:p>
      <w:pPr>
        <w:jc w:val="center"/>
      </w:pPr>
      <w:r>
        <w:t>Vygenerované: 12.03.2026 06:05:56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