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Asociácia medzi tkanivovou hustotou fundusu a subfoveálnou hrúbkou cievovky u detí s rôznymi refrakčnými stavmi</w:t>
      </w:r>
    </w:p>
    <w:p>
      <w:r>
        <w:t>Zdroj: Frontiers Medicine</w:t>
      </w:r>
    </w:p>
    <w:p>
      <w:r>
        <w:t>Publikované: 2026-03-05T00:00:00Z</w:t>
      </w:r>
    </w:p>
    <w:p/>
    <w:p>
      <w:pPr>
        <w:pStyle w:val="Heading1"/>
      </w:pPr>
      <w:r>
        <w:t>Súhrn</w:t>
      </w:r>
    </w:p>
    <w:p>
      <w:r>
        <w:t>Štúdia skúmala súvislosť medzi tkanivovou hustotou fundusu (FTD) a subfoveálnou hrúbkou cievovky (SFCT) u 6159 očí detí vo veku 2-6 rokov s rôznymi refrakčnými stavmi: ďalekozrakosťou, pre-krátkozrakosťou, nízkou krátkozrakosťou a strednou až vysokou krátkozrakosťou. FTD sa hodnotila pomocou analýzy farebných fotografií očného pozadia založenej na umelej inteligencii a SFCT optickou koherentnou tomografiou. SFCT sa významne znižovala so zvyšujúcou sa závažnosťou krátkozrakosti (p &lt; 0,001), zatiaľ čo FTD sa zodpovedajúco zvyšovala (p &lt; 0,001). Pozorovali sa významné negatívne korelácie medzi FTD a SFCT v skupinách pre-krátkozrakosti (r = -0,183, p = 0,019), nízkej krátkozrakosti (r = -0,335, p &lt; 0,001) a strednej až vysokej krátkozrakosti (r = -0,222, p = 0,0008). Identifikovaný bol nelineárny prahový efekt: pri SFCT pod 148,90 μm sa FTD výrazne zvýšila, pričom tento prah klesal s vyššou závažnosťou krátkozrakosti. Hrúbka centrálneho podpoľa (CST) nebola lineárne spojená s refrakciou, ale bola zvýšená pri strednej až vysokej krátkozrakosti. FTD založená na AI môže slúžiť ako neinvazívny biomarker na monitorovanie progresie krátkozrakosti u detí.</w:t>
      </w:r>
    </w:p>
    <w:p/>
    <w:p>
      <w:pPr>
        <w:jc w:val="center"/>
      </w:pPr>
      <w:r>
        <w:t>Vygenerované: 05.03.2026 07:01:44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