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Genomická zdravotná stratégia pre Arabský záliv</w:t>
      </w:r>
    </w:p>
    <w:p>
      <w:r>
        <w:t>Zdroj: Nature Medicine</w:t>
      </w:r>
    </w:p>
    <w:p>
      <w:r>
        <w:t>Publikované: 2026-03-04</w:t>
      </w:r>
    </w:p>
    <w:p/>
    <w:p>
      <w:pPr>
        <w:pStyle w:val="Heading1"/>
      </w:pPr>
      <w:r>
        <w:t>Súhrn</w:t>
      </w:r>
    </w:p>
    <w:p>
      <w:r>
        <w:t>Komentár v Nature Medicine navrhuje jednotný prístup ku skríningu genómu, integrácii údajov a včasnej prevencii chorôb pre štáty Arabského zálivu.[1] Štáty v tejto oblasti potrebujú spoločnú genomickú zdravotnú stratégiu kvôli vysokému výskytu chorôb a nedostatku reprezentatívnych genetických dát.[1][2] Qatar Genome Program (QGP) už sekvenoval genómy 25 000 Katarčanov a plánuje dosiahnuť 100 000 do roku 2025, s cieľom zaviesť presnú medicínu.[2] Výskum ukázal, že 99,5 % študovaných jedincov má aspoň jeden klinicky významný genetický variant ovplyvňujúci bezpečnosť a účinnosť liekov.[1] Navrhuje sa pan-arabské genotypizačné pole s približne 800 000 variantmi pre štúdium diabetu, kardiovaskulárnych a metabolických chorôb, autizmu, dedičných porúch a rakoviny.[2] Spolupráca je nevyhnutná pre malé populácie a etnickú rozmanitosť regiónu, aby sa dosiahla efektívna prevencia a personalizovaná liečba.[3] Tieto stratégie majú potenciál priniesť úspory tisícov až státisícov dolárov prostredníctvom národných skríningových programov.[3]</w:t>
      </w:r>
    </w:p>
    <w:p/>
    <w:p>
      <w:pPr>
        <w:jc w:val="center"/>
      </w:pPr>
      <w:r>
        <w:t>Vygenerované: 04.03.2026 15:00:36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