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Hodnotenie koronárnych artériových lézií bez viny pri STEMI</w:t>
      </w:r>
    </w:p>
    <w:p>
      <w:r>
        <w:t>Zdroj: NEJM</w:t>
      </w:r>
    </w:p>
    <w:p>
      <w:r>
        <w:t>Publikované: 2026-03-04T10:00:10Z</w:t>
      </w:r>
    </w:p>
    <w:p/>
    <w:p>
      <w:pPr>
        <w:pStyle w:val="Heading1"/>
      </w:pPr>
      <w:r>
        <w:t>Súhrn</w:t>
      </w:r>
    </w:p>
    <w:p>
      <w:r>
        <w:t>Štúdia iMODERN porovnávala okamžitú revaskularizáciu nonkulprit lézií u pacientov so STEMI pomocou iFR s odloženou revaskularizáciou na základe stresovej perfúznej CMR do 6 týždňov po indexovom zákroku. Zahŕňala 1146 pacientov po úspešnej primárnej PCI s aspoň jednou nonkulprit léziou, náhodne priradených do skupiny iFR (n=558) alebo CMR (n=588). V skupine iFR podstúpilo PCI nonkulprit lézií 237 z 556 pacientov (42,6 %), v skupine CMR 110 z 587 pacientov (18,7 %). Primárny endpoint – kompozit smrť z akéhokoľvek dôvodu, opakovaný infarkt myokardu alebo hospitalizácia za srdcové zlyhanie po 3 rokoch – nastal u 9,3 % pacientov v iFR skupine a u 9,8 % v CMR skupine (HR 0,95; 95 % CI 0,65-1,40). Sekundárne outcomes ako srdcová smrť (1,9 % vs. 2 %), zlyhanie cieľovej lézie (10,2 % vs. 10,5 %) a nestabilná angína (3,3 % vs. 3,9 %) boli podobné v oboch skupinách. Vážne nežiaduce udalosti sa vyskytli u 145 pacientov v iFR skupine a u 181 v CMR skupine. Okamžitá iFR-guidovaná PCI nebola superiornejšia oproti odloženej CMR-guidovanej PCI.[2][3]</w:t>
      </w:r>
    </w:p>
    <w:p/>
    <w:p>
      <w:pPr>
        <w:jc w:val="center"/>
      </w:pPr>
      <w:r>
        <w:t>Vygenerované: 05.03.2026 11:02:32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