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Stanovisko: CMS by nemalo platiť za vyššie dávky liekov proti rakovine, ako je potrebné</w:t>
      </w:r>
    </w:p>
    <w:p>
      <w:r>
        <w:t>Zdroj: STAT News</w:t>
      </w:r>
    </w:p>
    <w:p>
      <w:r>
        <w:t>Publikované: Tue, 03 Mar 2026 14:51:55 +0000</w:t>
      </w:r>
    </w:p>
    <w:p/>
    <w:p>
      <w:pPr>
        <w:pStyle w:val="Heading1"/>
      </w:pPr>
      <w:r>
        <w:t>Súhrn</w:t>
      </w:r>
    </w:p>
    <w:p>
      <w:r>
        <w:t>CMS by nemalo hradiť vyššie dávky onkologických liekov, ako je potrebné. Pri liečbe rakoviny vyššie dávky často neprinášajú lepšie výsledky. Naopak, sprevádzajú ich horšie vedľajšie účinky. Článok je stanoviskom, ktoré kritizuje preplácanie nadbytočných dávok. Neuvádza špecifické štatistiky ani detaily štúdií. Zdôrazňuje potrebu efektívneho využitia zdrojov na liečbu.</w:t>
      </w:r>
    </w:p>
    <w:p/>
    <w:p>
      <w:pPr>
        <w:jc w:val="center"/>
      </w:pPr>
      <w:r>
        <w:t>Vygenerované: 03.03.2026 16:03:09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