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Dermatologické skúšky podľa čísel: Kľúčové trendy a referenčné hodnoty pre rok 2026</w:t>
      </w:r>
    </w:p>
    <w:p>
      <w:r>
        <w:t>Zdroj: Pharmaceutical Technology</w:t>
      </w:r>
    </w:p>
    <w:p>
      <w:r>
        <w:t>Publikované: Tue, 03 Mar 2026 09:43:52 +0000</w:t>
      </w:r>
    </w:p>
    <w:p/>
    <w:p>
      <w:pPr>
        <w:pStyle w:val="Heading1"/>
      </w:pPr>
      <w:r>
        <w:t>Súhrn</w:t>
      </w:r>
    </w:p>
    <w:p>
      <w:r>
        <w:t>Do konca roku 2025 bolo dokončených, prebiehajúcich alebo plánovaných viac ako 16 000 dermatologických klinických skúšok.[1] Počet spustených skúšok výrazne vzrástol za posledné desaťročie a dosiahol vrchol v poslednom roku.[1] V regióne Ázio-Tichomorca došlo k takmer päťnásobnému nárastu dermatologických skúšok oproti predchádzajúcej dekáde a celkovo tam pribudlo takmer 8 000 skúšok, čo je približne rovnaký počet ako v Severnej Amerike a Európe dohromady.[1] Dermatológia je jednou z najrýchlejšie rastúcich oblastí medicíny z hľadiska objemu a rastu skúšok.[1] V jednom nedávnom štúdii fázy III pri plakovej psoriáze sa plánovalo 37 centier pre 508 pacientov, nábor sa dokončil o šesť týždňov skôr, aj po zvýšení počtu subjektov o 18 %.[1] Regulačné orgány čoraz viac očakávajú prísnejšie koncové body ako EASI-90/PASI-90 (90 % zlepšenie) a IGA 0/1 (čistá alebo takmer čistá koža) v dermatologických skúškach.[2] Trh s atopickým dermatitídou presahuje v roku 2026 20 miliárd dolárov a trh s psoriázou viac ako 36 miliárd dolárov.[2] Dermatologickí výskumníci musia pružne reagovať na stúpajúci príliv inovácií v tejto oblasti.[1]</w:t>
      </w:r>
    </w:p>
    <w:p/>
    <w:p>
      <w:pPr>
        <w:jc w:val="center"/>
      </w:pPr>
      <w:r>
        <w:t>Vygenerované: 03.03.2026 13:01:02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