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riadenia antimikrobiálnej rezistencie v 193 krajinách s cieľom informovať o aktualizácii globálneho akčného plánu na rok 2026</w:t>
      </w:r>
    </w:p>
    <w:p>
      <w:r>
        <w:t>Zdroj: Nature Medicine</w:t>
      </w:r>
    </w:p>
    <w:p>
      <w:r>
        <w:t>Publikované: 2026-03-03</w:t>
      </w:r>
    </w:p>
    <w:p/>
    <w:p>
      <w:pPr>
        <w:pStyle w:val="Heading1"/>
      </w:pPr>
      <w:r>
        <w:t>Súhrn</w:t>
      </w:r>
    </w:p>
    <w:p>
      <w:r>
        <w:t>Štúdia hodnotí riadenie antimikrobiálnej rezistencie (AMR) v 193 krajinách s cieľom informovať aktualizáciu globálneho akčného plánu na rok 2026.[1] Krajiny so silným multisektorovým riadením a včasným prijatím dohľadu dosiahli dlhodobé zlepšenia v znižovaní AMR.[1] Riadenie AMR dohľadu v krajinách s nízkym a stredným príjmom sa posilnilo za päť rokov do roku 2024 a priblížilo sa krajinám s vysokým príjmom.[1] Krajiny juhovýchodnej Ázie vykázali relatívne silné zlepšenia, čo je výraznou výnimkou oproti obmedzenému globálnemu pokroku.[1] Z 15 indikátorov bol jasný pokrok hlásený len v štyroch: dvoch o posilnení AMR dohľadu v ľudskom zdraví a zdraví zvierat a dvoch o regulačných rámcoch v zdraví zvierat.[1] Viac ako 170 krajín vypracovalo multisectorálne národné akčné plány na AMR.[3] V roku 2025 hlásilo údaje o antimikrobiálnej rezistencii a používaní 104 krajín do systému GLASS.[3] Štúdia zdôrazňuje efektívnosť iniciatív ako Flemingov fond v posilňovaní dohľadu v ľudskom a zvieracom zdraví.[1]</w:t>
      </w:r>
    </w:p>
    <w:p/>
    <w:p>
      <w:pPr>
        <w:jc w:val="center"/>
      </w:pPr>
      <w:r>
        <w:t>Vygenerované: 03.03.2026 12:01:18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