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Vplyv rôznych uhlov implantácie transkatétrovej aortálnej chlopne, hodnotených multidetektorovým špirálovým CT skenovaním, na hĺbku implantácie chlopne a jej vplyv na klinickú prognózu</w:t>
      </w:r>
    </w:p>
    <w:p>
      <w:r>
        <w:t>Zdroj: Frontiers Medicine</w:t>
      </w:r>
    </w:p>
    <w:p>
      <w:r>
        <w:t>Publikované: 2026-03-03T00:00:00Z</w:t>
      </w:r>
    </w:p>
    <w:p/>
    <w:p>
      <w:pPr>
        <w:pStyle w:val="Heading1"/>
      </w:pPr>
      <w:r>
        <w:t>Súhrn</w:t>
      </w:r>
    </w:p>
    <w:p>
      <w:r>
        <w:t>Štúdia skúmala vplyv komisurálneho zarovnania na hĺbku a klinické výsledky transkatétrovej implantácie aortálnej chlopne (TAVI) pomocou multidetektorovej špirálovej CT. Pacientov rozdelili do skupín zarovnaných (0–30° komisurálny posun, n = 106) a nesprávne zarovnaných (&gt;30° posun, n = 109) na základe CT pred a po zákroku. Primárne body zahŕňali hĺbku implantácie, ejekčnú frakciu ľavej komory (LVEF), 30-dňové komplikácie a kvalitu života meranú dotazníkom TASQ. Nesprávne zarovnaní pacienti mali vyššiu hĺbku implantácie (p = 0,035) a väčšie ľavé koronárne hrbolčeky (5,21 ± 0,64 mm vs. 4,92 ± 0,41 mm, p &lt; 0,001), s vyššou mierou hlbokej implantácie (&gt;10 mm: 9,17 % vs. 1,89 %, p = 0,020). U nich sa vyskytli častejšie komplikácie: paravalvulárny únik (19,27 % vs. 6,60 %, p = 0,006), implantácia kardiostimulátora (11,93 % vs. 3,77 %, p = 0,027) a dislokácia chlopne (15,60 % vs. 5,66 %, p = 0,018). Zarovnaní pacienti dosiahli lepšie 1-mesačné skóre TASQ (76,65 ± 17,31 vs. 69,85 ± 16,41, p = 0,003), najmä v fyzických obmedzeniach (p = 0,004) a emocionálnom vplyve (p = 0,013).</w:t>
      </w:r>
    </w:p>
    <w:p/>
    <w:p>
      <w:pPr>
        <w:jc w:val="center"/>
      </w:pPr>
      <w:r>
        <w:t>Vygenerované: 03.03.2026 07:46:55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