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Upadacitinib vykazuje 1-ročný prínos v pediatrickej IBD</w:t>
      </w:r>
    </w:p>
    <w:p>
      <w:r>
        <w:t>Zdroj: MedPage Today</w:t>
      </w:r>
    </w:p>
    <w:p>
      <w:r>
        <w:t>Publikované: Fri, 23 Jan 2026 16:54:35 -0500</w:t>
      </w:r>
    </w:p>
    <w:p/>
    <w:p>
      <w:pPr>
        <w:pStyle w:val="Heading1"/>
      </w:pPr>
      <w:r>
        <w:t>Súhrn</w:t>
      </w:r>
    </w:p>
    <w:p>
      <w:r>
        <w:t>Upadacitinib (Rinvoq) preukázal trvalý klinický prínos po 1 roku u detí a dospievajúcich so zápalovým ochorením čriev (IBD) v retrospektívnej štúdii v jednom centre zahŕňajúcej 48 pacientov.[usercontent] V multicentrickej retrospektívnej štúdii s 100 deťmi (90 s ulceróznou kolitídou a 10 s IBD-U, medián veku 15,6 roka) dosiahli po 8 týždňoch indukcie klinickú odpoveď 84 %, klinickú remisiu 62 % a remisiu bez kortikosteroidov 56 % pacientov.[1] Normálne hladiny C-reaktívneho proteínu dosiahlo 75 % a fekálny kalprotektín pod 150 mcg/g 50 % detí.[1] Kombinovaná remisia bez kortikosteroidov a s normálnym fekálnym kalprotektínom bola u 39 % z 46 pacientov s dostupnými údajmi.[1] Nežiaduce udalosti zaznamenali u 37 detí, vrátane 1 závažnej udalosti – neuroendokrinného nádoru slepého čreva; najčastejšie boli hyperlipidémia (13 prípadov), akné (12) a infekcie (10, z toho 5 herpesovými vírusmi).[1] Štúdia potvrdzuje upadacitinib ako účinnú indukčnú terapiu pri refraktérnej pediatrickej ulceróznej kolitíde a IBD-U, s ohľadom na riziká nežiaducich udalostí.[1]</w:t>
      </w:r>
    </w:p>
    <w:p/>
    <w:p>
      <w:pPr>
        <w:jc w:val="center"/>
      </w:pPr>
      <w:r>
        <w:t>Vygenerované: 24.01.2026 00:00:45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