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Od tradície k liečeniu: prísľub akupunktúry pri zvládaní syndrómu chronickej únavy</w:t>
      </w:r>
    </w:p>
    <w:p>
      <w:r>
        <w:t>Zdroj: Frontiers Medicine</w:t>
      </w:r>
    </w:p>
    <w:p>
      <w:r>
        <w:t>Publikované: 2026-01-20T00:00:00Z</w:t>
      </w:r>
    </w:p>
    <w:p/>
    <w:p>
      <w:pPr>
        <w:pStyle w:val="Heading1"/>
      </w:pPr>
      <w:r>
        <w:t>Súhrn</w:t>
      </w:r>
    </w:p>
    <w:p>
      <w:r>
        <w:t>Chronický únavový syndróm (CFS) postihuje viac ako 65 miliónov pacientov na svete a má kombinovanú prevalenciu 45,2 % po 4 týždňoch u pacientov s novým koronavírusom. Ženy, ľudia nad 40 rokov a tí s nízkymi príjmami patria k najviac ohrozeným skupinám. Článok hodnotí epidmiológiu CFS vrátane globálnych trendov, regionálnych rozdielov v incidencii a prevalencii, ako aj rizikové faktory ako dedičnosť, infekcia a detská trauma. Popisuje vývoj diagnostiky, vrátane klinických kritérií, imunitných a metabolických biomarkerov, MRI a genetických aspektov ako genómová asociácia či familiárna agregácia. Patofyziológia zahŕňa abnormality NK buniek a imunitných faktorov, dysfunkciu osi hypotalamus-hypofýza-nadobličky a poruchy energetického a lipidového metabolizmu. Štúdia sa zameriava na akupunktúru a moxibusciu pri liečbe CFS, analyzuje ich historickú aplikáciu, vzťah k patologickým mechanizmom, teoretické základy tradičnej čínskej medicíny a moderné mechanizmy účinku. Uvádza výsledky klinickej liečby, metódy hodnotenia účinnosti, individualizované stratégie, inovatívne techniky ako elektroakupunktúra či akupunktúrny katgut, ako aj kombinácie s tradičnou čínskou medicínou a psychoterapiou. Diskutuje spory o účinnosti, bezpečnosti a etike, ako aj budúce smery výskumu a medzinárodnú spoluprácu.</w:t>
      </w:r>
    </w:p>
    <w:p/>
    <w:p>
      <w:pPr>
        <w:jc w:val="center"/>
      </w:pPr>
      <w:r>
        <w:t>Vygenerované: 20.01.2026 15:00:32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