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Je čas znížiť naše straty na pokrytí zdravotnej starostlivosti?</w:t>
      </w:r>
    </w:p>
    <w:p>
      <w:r>
        <w:t>Zdroj: MedPage Today</w:t>
      </w:r>
    </w:p>
    <w:p>
      <w:r>
        <w:t>Publikované: Fri, 16 Jan 2026 14:00:17 -0500</w:t>
      </w:r>
    </w:p>
    <w:p/>
    <w:p>
      <w:pPr>
        <w:pStyle w:val="Heading1"/>
      </w:pPr>
      <w:r>
        <w:t>Súhrn</w:t>
      </w:r>
    </w:p>
    <w:p>
      <w:r>
        <w:t>Debaty o americkej zdravotnej politike sa viac ako desať rokov zameriavajú na zákon o dostupnej starostlivosti (ACA). Politické boje o tento zákon pretrvávajú. Tieto spory riskujú prehliadnuť širší kontext zdravotného systému. Článok poukazuje na zacyklenosť debaty v slučke. Zameranie na ACA bráni riešeniu väčších problémov v zdravotníctve.</w:t>
      </w:r>
    </w:p>
    <w:p/>
    <w:p>
      <w:pPr>
        <w:jc w:val="center"/>
      </w:pPr>
      <w:r>
        <w:t>Vygenerované: 16.01.2026 21:00:37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